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Resumen ejecutivo</w:t>
      </w:r>
    </w:p>
    <w:p w:rsidR="00000000" w:rsidDel="00000000" w:rsidP="00000000" w:rsidRDefault="00000000" w:rsidRPr="00000000" w14:paraId="00000002">
      <w:pPr>
        <w:rPr/>
      </w:pPr>
      <w:r w:rsidDel="00000000" w:rsidR="00000000" w:rsidRPr="00000000">
        <w:rPr>
          <w:b w:val="1"/>
          <w:bCs w:val="1"/>
          <w:rtl w:val="0"/>
        </w:rPr>
        <w:t xml:space="preserve">En 2026, el mundo alcanzó un hito importante: según los datos comunicados, más del 10 % del océano está ahora protegido o conservado, frente al 8,6 % de 2025.</w:t>
      </w:r>
      <w:r w:rsidDel="00000000" w:rsidR="00000000" w:rsidRPr="00000000">
        <w:rPr>
          <w:rtl w:val="0"/>
        </w:rPr>
        <w:t xml:space="preserve"> Sin embargo, el avance sigue muy lejos del objetivo mundial de proteger y conservar al menos el 30 % del océano para 2030 (30x30). Al ritmo histórico reciente, la cobertura mundial llegaría a apenas un 15 % en 2030, la mitad de la meta. Además, la expansión de las áreas marinas protegidas y conservadas aún no va acompañada de las condiciones necesarias para gestionarlas eficazmente. Solo el 3,5 % del océano ha sido evaluado y considerado eficazmente protegido.</w:t>
      </w:r>
    </w:p>
    <w:p w:rsidR="00000000" w:rsidDel="00000000" w:rsidP="00000000" w:rsidRDefault="00000000" w:rsidRPr="00000000" w14:paraId="00000003">
      <w:pPr>
        <w:rPr/>
      </w:pPr>
      <w:r w:rsidDel="00000000" w:rsidR="00000000" w:rsidRPr="00000000">
        <w:rPr>
          <w:b w:val="1"/>
          <w:bCs w:val="1"/>
          <w:rtl w:val="0"/>
        </w:rPr>
        <w:t xml:space="preserve">La aplicación efectiva de las medidas de protección es el principal reto de los cuatro años que quedan hasta 2030.</w:t>
      </w:r>
      <w:r w:rsidDel="00000000" w:rsidR="00000000" w:rsidRPr="00000000">
        <w:rPr>
          <w:rtl w:val="0"/>
        </w:rPr>
        <w:t xml:space="preserve"> A medida que aumenta la ambición, los países deben seguir acelerando la designación de áreas, pero también garantizar que estas cuenten con una gestión eficaz, financiación, cumplimiento de las normas y una gobernanza equitativa, y que generen resultados medibles. Un nuevo análisis de SkyTruth para este informe, basado en datos del Marine Conservation Institute, muestra que, aunque la protección de hábitats marinos clave es relativamente elevada sobre el papel, solo una pequeña proporción se considera efectivamente protegida tras su evaluación: según los datos comunicados, el 33 % de los manglares está protegido, pero solo el 0,3 % cuenta con protección plena o alta; en el caso de las praderas marinas, las cifras son del 34 % y el 1,1 %, respectivamente; y, aunque el 47 % de los corales de aguas cálidas se encuentra dentro de áreas protegidas, menos del 10 % cuenta con protección plena o alta.</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La brecha de aplicación es aún más acusada en alta mar, donde actualmente menos del 2 % está protegido y menos del 1 % se ha evaluado y se considera que cuenta con protección plena o alta.</w:t>
      </w:r>
      <w:r w:rsidDel="00000000" w:rsidR="00000000" w:rsidRPr="00000000">
        <w:rPr>
          <w:vertAlign w:val="superscript"/>
        </w:rPr>
        <w:footnoteReference w:customMarkFollows="0" w:id="1"/>
      </w:r>
      <w:r w:rsidDel="00000000" w:rsidR="00000000" w:rsidRPr="00000000">
        <w:rPr>
          <w:rtl w:val="0"/>
        </w:rPr>
        <w:t xml:space="preserve"> Dado que la alta mar representa casi dos tercios del océano mundial, no será posible alcanzar el objetivo 30x30 sin protegerla. La primera generación de áreas marinas protegidas (AMP) en alta mar pondrá a prueba la capacidad de los países para traducir su ambición en medidas de conservación efectivas sobre el terreno. Será esencial garantizar que las primeras propuestas de AMP en alta mar incluyan las condiciones necesarias para ser eficaces, en lugar de reproducir la brecha que ya se observa en las aguas nacionales. No hay tiempo para crear una nueva generación de parques que solo estén protegidos sobre el papel en alta mar.</w:t>
      </w:r>
    </w:p>
    <w:tbl>
      <w:tblPr>
        <w:tblStyle w:val="Table1"/>
        <w:tblW w:w="8954.0" w:type="dxa"/>
        <w:jc w:val="left"/>
        <w:tblInd w:w="-15.0" w:type="dxa"/>
        <w:tblLayout w:type="fixed"/>
        <w:tblLook w:val="0400"/>
      </w:tblPr>
      <w:tblGrid>
        <w:gridCol w:w="3727"/>
        <w:gridCol w:w="5227"/>
        <w:tblGridChange w:id="0">
          <w:tblGrid>
            <w:gridCol w:w="3727"/>
            <w:gridCol w:w="5227"/>
          </w:tblGrid>
        </w:tblGridChange>
      </w:tblGrid>
      <w:tr>
        <w:trPr>
          <w:cantSplit w:val="0"/>
          <w:tblHeader w:val="1"/>
        </w:trPr>
        <w:tc>
          <w:tcPr>
            <w:vAlign w:val="center"/>
          </w:tcPr>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Original</w:t>
            </w:r>
          </w:p>
        </w:tc>
        <w:tc>
          <w:tcPr>
            <w:vAlign w:val="center"/>
          </w:tcPr>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Translation</w:t>
            </w:r>
          </w:p>
        </w:tc>
      </w:tr>
      <w:tr>
        <w:trPr>
          <w:cantSplit w:val="0"/>
          <w:tblHeader w:val="0"/>
        </w:trPr>
        <w:tc>
          <w:tcPr>
            <w:vAlign w:val="center"/>
          </w:tcPr>
          <w:p w:rsidR="00000000" w:rsidDel="00000000" w:rsidP="00000000" w:rsidRDefault="00000000" w:rsidRPr="00000000" w14:paraId="0000000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National waters</w:t>
            </w:r>
          </w:p>
        </w:tc>
        <w:tc>
          <w:tcPr>
            <w:vAlign w:val="center"/>
          </w:tcPr>
          <w:p w:rsidR="00000000" w:rsidDel="00000000" w:rsidP="00000000" w:rsidRDefault="00000000" w:rsidRPr="00000000" w14:paraId="0000000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Aguas nacionales</w:t>
            </w:r>
          </w:p>
        </w:tc>
      </w:tr>
      <w:tr>
        <w:trPr>
          <w:cantSplit w:val="0"/>
          <w:tblHeader w:val="0"/>
        </w:trPr>
        <w:tc>
          <w:tcPr>
            <w:vAlign w:val="center"/>
          </w:tcPr>
          <w:p w:rsidR="00000000" w:rsidDel="00000000" w:rsidP="00000000" w:rsidRDefault="00000000" w:rsidRPr="00000000" w14:paraId="0000000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High seas</w:t>
            </w:r>
          </w:p>
        </w:tc>
        <w:tc>
          <w:tcPr>
            <w:vAlign w:val="center"/>
          </w:tcPr>
          <w:p w:rsidR="00000000" w:rsidDel="00000000" w:rsidP="00000000" w:rsidRDefault="00000000" w:rsidRPr="00000000" w14:paraId="0000000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Alta mar</w:t>
            </w:r>
          </w:p>
        </w:tc>
      </w:tr>
      <w:tr>
        <w:trPr>
          <w:cantSplit w:val="0"/>
          <w:tblHeader w:val="0"/>
        </w:trPr>
        <w:tc>
          <w:tcPr>
            <w:vAlign w:val="center"/>
          </w:tcPr>
          <w:p w:rsidR="00000000" w:rsidDel="00000000" w:rsidP="00000000" w:rsidRDefault="00000000" w:rsidRPr="00000000" w14:paraId="0000000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39% of global ocean</w:t>
            </w:r>
          </w:p>
        </w:tc>
        <w:tc>
          <w:tcPr>
            <w:vAlign w:val="center"/>
          </w:tcPr>
          <w:p w:rsidR="00000000" w:rsidDel="00000000" w:rsidP="00000000" w:rsidRDefault="00000000" w:rsidRPr="00000000" w14:paraId="0000000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39 % del océano mundial</w:t>
            </w:r>
          </w:p>
        </w:tc>
      </w:tr>
      <w:tr>
        <w:trPr>
          <w:cantSplit w:val="0"/>
          <w:tblHeader w:val="0"/>
        </w:trPr>
        <w:tc>
          <w:tcPr>
            <w:vAlign w:val="center"/>
          </w:tcPr>
          <w:p w:rsidR="00000000" w:rsidDel="00000000" w:rsidP="00000000" w:rsidRDefault="00000000" w:rsidRPr="00000000" w14:paraId="0000000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61% of global ocean</w:t>
            </w:r>
          </w:p>
        </w:tc>
        <w:tc>
          <w:tcPr>
            <w:vAlign w:val="center"/>
          </w:tcPr>
          <w:p w:rsidR="00000000" w:rsidDel="00000000" w:rsidP="00000000" w:rsidRDefault="00000000" w:rsidRPr="00000000" w14:paraId="0000000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61 % del océano mundial</w:t>
            </w:r>
          </w:p>
        </w:tc>
      </w:tr>
      <w:tr>
        <w:trPr>
          <w:cantSplit w:val="0"/>
          <w:tblHeader w:val="0"/>
        </w:trPr>
        <w:tc>
          <w:tcPr>
            <w:vAlign w:val="center"/>
          </w:tcPr>
          <w:p w:rsidR="00000000" w:rsidDel="00000000" w:rsidP="00000000" w:rsidRDefault="00000000" w:rsidRPr="00000000" w14:paraId="0000000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Effective protection</w:t>
            </w:r>
          </w:p>
        </w:tc>
        <w:tc>
          <w:tcPr>
            <w:vAlign w:val="center"/>
          </w:tcPr>
          <w:p w:rsidR="00000000" w:rsidDel="00000000" w:rsidP="00000000" w:rsidRDefault="00000000" w:rsidRPr="00000000" w14:paraId="0000001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Protección eficaz</w:t>
            </w:r>
          </w:p>
        </w:tc>
      </w:tr>
      <w:tr>
        <w:trPr>
          <w:cantSplit w:val="0"/>
          <w:tblHeader w:val="0"/>
        </w:trPr>
        <w:tc>
          <w:tcPr>
            <w:vAlign w:val="center"/>
          </w:tcPr>
          <w:p w:rsidR="00000000" w:rsidDel="00000000" w:rsidP="00000000" w:rsidRDefault="00000000" w:rsidRPr="00000000" w14:paraId="0000001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Reported but not effectively protected</w:t>
            </w:r>
          </w:p>
        </w:tc>
        <w:tc>
          <w:tcPr>
            <w:vAlign w:val="center"/>
          </w:tcPr>
          <w:p w:rsidR="00000000" w:rsidDel="00000000" w:rsidP="00000000" w:rsidRDefault="00000000" w:rsidRPr="00000000" w14:paraId="0000001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Declarado como protegido, pero sin protección eficaz</w:t>
            </w:r>
          </w:p>
        </w:tc>
      </w:tr>
      <w:tr>
        <w:trPr>
          <w:cantSplit w:val="0"/>
          <w:tblHeader w:val="0"/>
        </w:trPr>
        <w:tc>
          <w:tcPr>
            <w:vAlign w:val="center"/>
          </w:tcPr>
          <w:p w:rsidR="00000000" w:rsidDel="00000000" w:rsidP="00000000" w:rsidRDefault="00000000" w:rsidRPr="00000000" w14:paraId="0000001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Remaining to 30% target</w:t>
            </w:r>
          </w:p>
        </w:tc>
        <w:tc>
          <w:tcPr>
            <w:vAlign w:val="center"/>
          </w:tcPr>
          <w:p w:rsidR="00000000" w:rsidDel="00000000" w:rsidP="00000000" w:rsidRDefault="00000000" w:rsidRPr="00000000" w14:paraId="0000001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Porcentaje restante para alcanzar la meta del 30 %</w:t>
            </w:r>
          </w:p>
        </w:tc>
      </w:tr>
      <w:tr>
        <w:trPr>
          <w:cantSplit w:val="0"/>
          <w:tblHeader w:val="0"/>
        </w:trPr>
        <w:tc>
          <w:tcPr>
            <w:vAlign w:val="center"/>
          </w:tcPr>
          <w:p w:rsidR="00000000" w:rsidDel="00000000" w:rsidP="00000000" w:rsidRDefault="00000000" w:rsidRPr="00000000" w14:paraId="0000001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Outside of 30% target</w:t>
            </w:r>
          </w:p>
        </w:tc>
        <w:tc>
          <w:tcPr>
            <w:vAlign w:val="center"/>
          </w:tcPr>
          <w:p w:rsidR="00000000" w:rsidDel="00000000" w:rsidP="00000000" w:rsidRDefault="00000000" w:rsidRPr="00000000" w14:paraId="0000001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Fuera de la meta del 30 %</w:t>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b w:val="1"/>
          <w:bCs w:val="1"/>
          <w:rtl w:val="0"/>
        </w:rPr>
        <w:t xml:space="preserve">Los países están demostrando que la protección efectiva es posible, pero exige algo más que la mera designación de áreas.</w:t>
      </w:r>
      <w:r w:rsidDel="00000000" w:rsidR="00000000" w:rsidRPr="00000000">
        <w:rPr>
          <w:rtl w:val="0"/>
        </w:rPr>
        <w:t xml:space="preserve"> Los ejemplos de Chile, Palaos y otros lugares demuestran que la protección del océano puede dar buenos resultados si se sustenta en una gobernanza eficaz, financiación a largo plazo, liderazgo comunitario, vigilancia del cumplimiento y seguimiento.</w:t>
      </w:r>
    </w:p>
    <w:p w:rsidR="00000000" w:rsidDel="00000000" w:rsidP="00000000" w:rsidRDefault="00000000" w:rsidRPr="00000000" w14:paraId="00000019">
      <w:pPr>
        <w:rPr/>
      </w:pPr>
      <w:r w:rsidDel="00000000" w:rsidR="00000000" w:rsidRPr="00000000">
        <w:rPr>
          <w:b w:val="1"/>
          <w:bCs w:val="1"/>
          <w:rtl w:val="0"/>
        </w:rPr>
        <w:t xml:space="preserve">Casi la mitad de los países costeros ya dispone de objetivos nacionales cuantificados de protección del océano para 2030, pero ahora la aplicación efectiva debe estar a la altura de esa ambición e incluso superarla.</w:t>
      </w:r>
      <w:r w:rsidDel="00000000" w:rsidR="00000000" w:rsidRPr="00000000">
        <w:rPr>
          <w:rtl w:val="0"/>
        </w:rPr>
        <w:t xml:space="preserve"> Los objetivos nacionales actuales podrían permitir proteger el [26] % de las aguas nacionales de aquí a 2030, pero muchos países aún no han traducido estos compromisos en una protección efectiva. Una cuarta parte de los países con un objetivo cuantificado para 2030 todavía no protege ni conserva ninguna parte de sus aguas, y casi la mitad solo ha protegido el 5 % o menos.</w:t>
      </w:r>
      <w:r w:rsidDel="00000000" w:rsidR="00000000" w:rsidRPr="00000000">
        <w:rPr>
          <w:vertAlign w:val="superscript"/>
        </w:rPr>
        <w:footnoteReference w:customMarkFollows="0" w:id="2"/>
      </w:r>
      <w:r w:rsidDel="00000000" w:rsidR="00000000" w:rsidRPr="00000000">
        <w:rPr>
          <w:rtl w:val="0"/>
        </w:rPr>
      </w:r>
    </w:p>
    <w:p w:rsidR="00000000" w:rsidDel="00000000" w:rsidP="00000000" w:rsidRDefault="00000000" w:rsidRPr="00000000" w14:paraId="0000001A">
      <w:pPr>
        <w:pStyle w:val="Heading2"/>
        <w:rPr/>
      </w:pPr>
      <w:r w:rsidDel="00000000" w:rsidR="00000000" w:rsidRPr="00000000">
        <w:rPr>
          <w:rtl w:val="0"/>
        </w:rPr>
        <w:t xml:space="preserve">AUMENTA LA AMBICIÓN EN LA PROTECCIÓN DEL OCÉANO, PERO LA APLICACIÓN EFECTIVA Y LA FINANCIACIÓN NO AVANZAN AL MISMO RITMO</w:t>
      </w:r>
    </w:p>
    <w:p w:rsidR="00000000" w:rsidDel="00000000" w:rsidP="00000000" w:rsidRDefault="00000000" w:rsidRPr="00000000" w14:paraId="0000001B">
      <w:pPr>
        <w:rPr/>
      </w:pPr>
      <w:r w:rsidDel="00000000" w:rsidR="00000000" w:rsidRPr="00000000">
        <w:rPr>
          <w:rtl w:val="0"/>
        </w:rPr>
        <w:t xml:space="preserve">Cifras pendientes de confirmación definitiva</w:t>
      </w:r>
    </w:p>
    <w:p w:rsidR="00000000" w:rsidDel="00000000" w:rsidP="00000000" w:rsidRDefault="00000000" w:rsidRPr="00000000" w14:paraId="0000001C">
      <w:pPr>
        <w:pStyle w:val="Heading2"/>
        <w:rPr/>
      </w:pPr>
      <w:r w:rsidDel="00000000" w:rsidR="00000000" w:rsidRPr="00000000">
        <w:rPr>
          <w:rtl w:val="0"/>
        </w:rPr>
        <w:t xml:space="preserve">Gráfico</w:t>
      </w:r>
    </w:p>
    <w:p w:rsidR="00000000" w:rsidDel="00000000" w:rsidP="00000000" w:rsidRDefault="00000000" w:rsidRPr="00000000" w14:paraId="0000001D">
      <w:pPr>
        <w:rPr/>
      </w:pPr>
      <w:r w:rsidDel="00000000" w:rsidR="00000000" w:rsidRPr="00000000">
        <w:rPr>
          <w:rtl w:val="0"/>
        </w:rPr>
        <w:t xml:space="preserve">Avances anuales en los componentes de ambición, aplicación y financiación de la brecha de protección del océano</w:t>
      </w:r>
    </w:p>
    <w:tbl>
      <w:tblPr>
        <w:tblStyle w:val="Table2"/>
        <w:tblW w:w="9639.0" w:type="dxa"/>
        <w:jc w:val="center"/>
        <w:tblLayout w:type="fixed"/>
        <w:tblLook w:val="0400"/>
      </w:tblPr>
      <w:tblGrid>
        <w:gridCol w:w="2948"/>
        <w:gridCol w:w="1928"/>
        <w:gridCol w:w="2098"/>
        <w:gridCol w:w="2665"/>
        <w:tblGridChange w:id="0">
          <w:tblGrid>
            <w:gridCol w:w="2948"/>
            <w:gridCol w:w="1928"/>
            <w:gridCol w:w="2098"/>
            <w:gridCol w:w="2665"/>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e6edf3" w:val="clear"/>
            <w:tcMar>
              <w:top w:w="100.0" w:type="dxa"/>
              <w:left w:w="100.0" w:type="dxa"/>
              <w:bottom w:w="100.0" w:type="dxa"/>
              <w:right w:w="100.0" w:type="dxa"/>
            </w:tcMar>
            <w:vAlign w:val="center"/>
          </w:tcPr>
          <w:p w:rsidR="00000000" w:rsidDel="00000000" w:rsidP="00000000" w:rsidRDefault="00000000" w:rsidRPr="00000000" w14:paraId="0000001E">
            <w:pPr>
              <w:spacing w:after="80" w:before="40" w:lineRule="auto"/>
              <w:rPr/>
            </w:pPr>
            <w:r w:rsidDel="00000000" w:rsidR="00000000" w:rsidRPr="00000000">
              <w:rPr>
                <w:b w:val="1"/>
                <w:bCs w:val="1"/>
                <w:sz w:val="20"/>
                <w:szCs w:val="20"/>
                <w:rtl w:val="0"/>
              </w:rPr>
              <w:t xml:space="preserve">Indicador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6edf3" w:val="clear"/>
            <w:tcMar>
              <w:top w:w="100.0" w:type="dxa"/>
              <w:left w:w="100.0" w:type="dxa"/>
              <w:bottom w:w="100.0" w:type="dxa"/>
              <w:right w:w="100.0" w:type="dxa"/>
            </w:tcMar>
            <w:vAlign w:val="center"/>
          </w:tcPr>
          <w:p w:rsidR="00000000" w:rsidDel="00000000" w:rsidP="00000000" w:rsidRDefault="00000000" w:rsidRPr="00000000" w14:paraId="0000001F">
            <w:pPr>
              <w:spacing w:after="80" w:before="40" w:lineRule="auto"/>
              <w:rPr/>
            </w:pPr>
            <w:r w:rsidDel="00000000" w:rsidR="00000000" w:rsidRPr="00000000">
              <w:rPr>
                <w:b w:val="1"/>
                <w:bCs w:val="1"/>
                <w:sz w:val="20"/>
                <w:szCs w:val="20"/>
                <w:rtl w:val="0"/>
              </w:rPr>
              <w:t xml:space="preserve">Situación de partida en 2025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6edf3" w:val="clear"/>
            <w:tcMar>
              <w:top w:w="100.0" w:type="dxa"/>
              <w:left w:w="100.0" w:type="dxa"/>
              <w:bottom w:w="100.0" w:type="dxa"/>
              <w:right w:w="100.0" w:type="dxa"/>
            </w:tcMar>
            <w:vAlign w:val="center"/>
          </w:tcPr>
          <w:p w:rsidR="00000000" w:rsidDel="00000000" w:rsidP="00000000" w:rsidRDefault="00000000" w:rsidRPr="00000000" w14:paraId="00000020">
            <w:pPr>
              <w:spacing w:after="80" w:before="40" w:lineRule="auto"/>
              <w:rPr/>
            </w:pPr>
            <w:r w:rsidDel="00000000" w:rsidR="00000000" w:rsidRPr="00000000">
              <w:rPr>
                <w:b w:val="1"/>
                <w:bCs w:val="1"/>
                <w:sz w:val="20"/>
                <w:szCs w:val="20"/>
                <w:rtl w:val="0"/>
              </w:rPr>
              <w:t xml:space="preserve">Avances desde 2025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6edf3" w:val="clear"/>
            <w:tcMar>
              <w:top w:w="100.0" w:type="dxa"/>
              <w:left w:w="100.0" w:type="dxa"/>
              <w:bottom w:w="100.0" w:type="dxa"/>
              <w:right w:w="100.0" w:type="dxa"/>
            </w:tcMar>
            <w:vAlign w:val="center"/>
          </w:tcPr>
          <w:p w:rsidR="00000000" w:rsidDel="00000000" w:rsidP="00000000" w:rsidRDefault="00000000" w:rsidRPr="00000000" w14:paraId="00000021">
            <w:pPr>
              <w:spacing w:after="80" w:before="40" w:lineRule="auto"/>
              <w:rPr/>
            </w:pPr>
            <w:r w:rsidDel="00000000" w:rsidR="00000000" w:rsidRPr="00000000">
              <w:rPr>
                <w:b w:val="1"/>
                <w:bCs w:val="1"/>
                <w:sz w:val="20"/>
                <w:szCs w:val="20"/>
                <w:rtl w:val="0"/>
              </w:rPr>
              <w:t xml:space="preserve">Brecha hasta 2030</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2">
            <w:pPr>
              <w:spacing w:after="80" w:before="40" w:lineRule="auto"/>
              <w:rPr/>
            </w:pPr>
            <w:r w:rsidDel="00000000" w:rsidR="00000000" w:rsidRPr="00000000">
              <w:rPr>
                <w:sz w:val="20"/>
                <w:szCs w:val="20"/>
                <w:rtl w:val="0"/>
              </w:rPr>
              <w:t xml:space="preserve">Países con objetivos (base de datos del CDB)</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3">
            <w:pPr>
              <w:spacing w:after="80" w:before="40" w:lineRule="auto"/>
              <w:rPr/>
            </w:pPr>
            <w:r w:rsidDel="00000000" w:rsidR="00000000" w:rsidRPr="00000000">
              <w:rPr>
                <w:sz w:val="20"/>
                <w:szCs w:val="20"/>
                <w:rtl w:val="0"/>
              </w:rPr>
              <w:t xml:space="preserve">49</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4">
            <w:pPr>
              <w:spacing w:after="80" w:before="40" w:lineRule="auto"/>
              <w:rPr/>
            </w:pPr>
            <w:r w:rsidDel="00000000" w:rsidR="00000000" w:rsidRPr="00000000">
              <w:rPr>
                <w:sz w:val="20"/>
                <w:szCs w:val="20"/>
                <w:rtl w:val="0"/>
              </w:rPr>
              <w:t xml:space="preserve">[+22]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5">
            <w:pPr>
              <w:spacing w:after="80" w:before="40" w:lineRule="auto"/>
              <w:rPr/>
            </w:pPr>
            <w:r w:rsidDel="00000000" w:rsidR="00000000" w:rsidRPr="00000000">
              <w:rPr>
                <w:sz w:val="20"/>
                <w:szCs w:val="20"/>
                <w:rtl w:val="0"/>
              </w:rPr>
              <w:t xml:space="preserve">[79] pendientes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26">
            <w:pPr>
              <w:spacing w:after="80" w:before="40" w:lineRule="auto"/>
              <w:rPr/>
            </w:pPr>
            <w:r w:rsidDel="00000000" w:rsidR="00000000" w:rsidRPr="00000000">
              <w:rPr>
                <w:sz w:val="20"/>
                <w:szCs w:val="20"/>
                <w:rtl w:val="0"/>
              </w:rPr>
              <w:t xml:space="preserve">Océano declarado protegido (WDPCA)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27">
            <w:pPr>
              <w:spacing w:after="80" w:before="40" w:lineRule="auto"/>
              <w:rPr/>
            </w:pPr>
            <w:r w:rsidDel="00000000" w:rsidR="00000000" w:rsidRPr="00000000">
              <w:rPr>
                <w:sz w:val="20"/>
                <w:szCs w:val="20"/>
                <w:rtl w:val="0"/>
              </w:rPr>
              <w:t xml:space="preserve">8,6 %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28">
            <w:pPr>
              <w:spacing w:after="80" w:before="40" w:lineRule="auto"/>
              <w:rPr/>
            </w:pPr>
            <w:r w:rsidDel="00000000" w:rsidR="00000000" w:rsidRPr="00000000">
              <w:rPr>
                <w:sz w:val="20"/>
                <w:szCs w:val="20"/>
                <w:rtl w:val="0"/>
              </w:rPr>
              <w:t xml:space="preserve">+1,4 %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29">
            <w:pPr>
              <w:spacing w:after="80" w:before="40" w:lineRule="auto"/>
              <w:rPr/>
            </w:pPr>
            <w:r w:rsidDel="00000000" w:rsidR="00000000" w:rsidRPr="00000000">
              <w:rPr>
                <w:sz w:val="20"/>
                <w:szCs w:val="20"/>
                <w:rtl w:val="0"/>
              </w:rPr>
              <w:t xml:space="preserve">20 % pendiente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A">
            <w:pPr>
              <w:spacing w:after="80" w:before="40" w:lineRule="auto"/>
              <w:rPr/>
            </w:pPr>
            <w:r w:rsidDel="00000000" w:rsidR="00000000" w:rsidRPr="00000000">
              <w:rPr>
                <w:sz w:val="20"/>
                <w:szCs w:val="20"/>
                <w:rtl w:val="0"/>
              </w:rPr>
              <w:t xml:space="preserve">Océano efectivamente protegido¹ (MPAtlas)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B">
            <w:pPr>
              <w:spacing w:after="80" w:before="40" w:lineRule="auto"/>
              <w:rPr/>
            </w:pPr>
            <w:r w:rsidDel="00000000" w:rsidR="00000000" w:rsidRPr="00000000">
              <w:rPr>
                <w:sz w:val="20"/>
                <w:szCs w:val="20"/>
                <w:rtl w:val="0"/>
              </w:rPr>
              <w:t xml:space="preserve">2,7 %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C">
            <w:pPr>
              <w:spacing w:after="80" w:before="40" w:lineRule="auto"/>
              <w:rPr/>
            </w:pPr>
            <w:r w:rsidDel="00000000" w:rsidR="00000000" w:rsidRPr="00000000">
              <w:rPr>
                <w:sz w:val="20"/>
                <w:szCs w:val="20"/>
                <w:rtl w:val="0"/>
              </w:rPr>
              <w:t xml:space="preserve">+0,8 %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D">
            <w:pPr>
              <w:spacing w:after="80" w:before="40" w:lineRule="auto"/>
              <w:rPr/>
            </w:pPr>
            <w:r w:rsidDel="00000000" w:rsidR="00000000" w:rsidRPr="00000000">
              <w:rPr>
                <w:sz w:val="20"/>
                <w:szCs w:val="20"/>
                <w:rtl w:val="0"/>
              </w:rPr>
              <w:t xml:space="preserve">26,5 % pendiente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2E">
            <w:pPr>
              <w:spacing w:after="80" w:before="40" w:lineRule="auto"/>
              <w:rPr/>
            </w:pPr>
            <w:r w:rsidDel="00000000" w:rsidR="00000000" w:rsidRPr="00000000">
              <w:rPr>
                <w:sz w:val="20"/>
                <w:szCs w:val="20"/>
                <w:rtl w:val="0"/>
              </w:rPr>
              <w:t xml:space="preserve">Financiación anual de la protección marina (varias fuentes)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2F">
            <w:pPr>
              <w:spacing w:after="80" w:before="40" w:lineRule="auto"/>
              <w:rPr/>
            </w:pPr>
            <w:r w:rsidDel="00000000" w:rsidR="00000000" w:rsidRPr="00000000">
              <w:rPr>
                <w:sz w:val="20"/>
                <w:szCs w:val="20"/>
                <w:rtl w:val="0"/>
              </w:rPr>
              <w:t xml:space="preserve">1200 millones de dólares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30">
            <w:pPr>
              <w:spacing w:after="80" w:before="40" w:lineRule="auto"/>
              <w:rPr/>
            </w:pPr>
            <w:r w:rsidDel="00000000" w:rsidR="00000000" w:rsidRPr="00000000">
              <w:rPr>
                <w:sz w:val="20"/>
                <w:szCs w:val="20"/>
                <w:rtl w:val="0"/>
              </w:rPr>
              <w:t xml:space="preserve">+600 millones de dólares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5f7f9" w:val="clear"/>
            <w:tcMar>
              <w:top w:w="100.0" w:type="dxa"/>
              <w:left w:w="100.0" w:type="dxa"/>
              <w:bottom w:w="100.0" w:type="dxa"/>
              <w:right w:w="100.0" w:type="dxa"/>
            </w:tcMar>
            <w:vAlign w:val="center"/>
          </w:tcPr>
          <w:p w:rsidR="00000000" w:rsidDel="00000000" w:rsidP="00000000" w:rsidRDefault="00000000" w:rsidRPr="00000000" w14:paraId="00000031">
            <w:pPr>
              <w:spacing w:after="80" w:before="40" w:lineRule="auto"/>
              <w:rPr/>
            </w:pPr>
            <w:r w:rsidDel="00000000" w:rsidR="00000000" w:rsidRPr="00000000">
              <w:rPr>
                <w:sz w:val="20"/>
                <w:szCs w:val="20"/>
                <w:rtl w:val="0"/>
              </w:rPr>
              <w:t xml:space="preserve">14 100 millones de dólares</w:t>
            </w:r>
            <w:r w:rsidDel="00000000" w:rsidR="00000000" w:rsidRPr="00000000">
              <w:rPr>
                <w:rtl w:val="0"/>
              </w:rPr>
            </w:r>
          </w:p>
        </w:tc>
      </w:tr>
    </w:tbl>
    <w:p w:rsidR="00000000" w:rsidDel="00000000" w:rsidP="00000000" w:rsidRDefault="00000000" w:rsidRPr="00000000" w14:paraId="00000032">
      <w:pPr>
        <w:rPr/>
      </w:pPr>
      <w:r w:rsidDel="00000000" w:rsidR="00000000" w:rsidRPr="00000000">
        <w:rPr>
          <w:b w:val="1"/>
          <w:bCs w:val="1"/>
          <w:rtl w:val="0"/>
        </w:rPr>
        <w:t xml:space="preserve">La protección y la conservación efectivas generan importantes rendimientos económicos.</w:t>
      </w:r>
      <w:r w:rsidDel="00000000" w:rsidR="00000000" w:rsidRPr="00000000">
        <w:rPr>
          <w:rtl w:val="0"/>
        </w:rPr>
        <w:t xml:space="preserve"> Un análisis anterior identificó beneficios económicos anuales potenciales de al menos 85 000 millones de dólares estadounidenses para 2050, derivados de unas pesquerías más saludables, la protección costera y la conservación de los ecosistemas de carbono azul.</w:t>
      </w:r>
      <w:r w:rsidDel="00000000" w:rsidR="00000000" w:rsidRPr="00000000">
        <w:rPr>
          <w:vertAlign w:val="superscript"/>
        </w:rPr>
        <w:footnoteReference w:customMarkFollows="0" w:id="3"/>
      </w:r>
      <w:r w:rsidDel="00000000" w:rsidR="00000000" w:rsidRPr="00000000">
        <w:rPr>
          <w:rtl w:val="0"/>
        </w:rPr>
        <w:t xml:space="preserve"> Al mismo tiempo, una protección insuficiente también acarrea costes medibles. Se estima que la pesca ilegal, no declarada y no reglamentada provoca pérdidas de 23 500 millones de dólares estadounidenses al año en todo el mundo, mientras que la pesca de arrastre de fondo en aguas europeas, incluso dentro de muchas AMP, genera costes ambientales estimados en hasta 16 000 millones de euros anuales.</w:t>
      </w:r>
      <w:r w:rsidDel="00000000" w:rsidR="00000000" w:rsidRPr="00000000">
        <w:rPr>
          <w:vertAlign w:val="superscript"/>
        </w:rPr>
        <w:footnoteReference w:customMarkFollows="0" w:id="4"/>
      </w:r>
      <w:r w:rsidDel="00000000" w:rsidR="00000000" w:rsidRPr="00000000">
        <w:rPr>
          <w:vertAlign w:val="superscript"/>
        </w:rPr>
        <w:footnoteReference w:customMarkFollows="0" w:id="5"/>
      </w: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Se estima que la financiación actual de la protección marina ronda los 1800 millones de dólares estadounidenses al año, aproximadamente una décima parte de lo necesario para cumplir la meta 30x30. </w:t>
      </w:r>
      <w:r w:rsidDel="00000000" w:rsidR="00000000" w:rsidRPr="00000000">
        <w:rPr>
          <w:rtl w:val="0"/>
        </w:rPr>
        <w:t xml:space="preserve">La inversión anual en conservación marina equivale a tan solo un mes de los 22.000 millones de dólares estadounidenses que los gobiernos gastan cada año en subvencionar actividades marinas perjudiciales. Cerrar esta brecha de financiación requerirá más recursos nacionales, además de financiación internacional, filantropía y capital privado.</w:t>
      </w:r>
    </w:p>
    <w:p w:rsidR="00000000" w:rsidDel="00000000" w:rsidP="00000000" w:rsidRDefault="00000000" w:rsidRPr="00000000" w14:paraId="00000034">
      <w:pPr>
        <w:rPr/>
      </w:pPr>
      <w:r w:rsidDel="00000000" w:rsidR="00000000" w:rsidRPr="00000000">
        <w:rPr>
          <w:b w:val="1"/>
          <w:bCs w:val="1"/>
          <w:rtl w:val="0"/>
        </w:rPr>
        <w:t xml:space="preserve">El Tratado de Alta Mar</w:t>
      </w:r>
      <w:r w:rsidDel="00000000" w:rsidR="00000000" w:rsidRPr="00000000">
        <w:rPr>
          <w:b w:val="1"/>
          <w:bCs w:val="1"/>
          <w:vertAlign w:val="superscript"/>
        </w:rPr>
        <w:footnoteReference w:customMarkFollows="0" w:id="6"/>
      </w:r>
      <w:r w:rsidDel="00000000" w:rsidR="00000000" w:rsidRPr="00000000">
        <w:rPr>
          <w:b w:val="1"/>
          <w:bCs w:val="1"/>
          <w:rtl w:val="0"/>
        </w:rPr>
        <w:t xml:space="preserve"> ofrece la oportunidad más clara de cambiar esta trayectoria.</w:t>
      </w:r>
      <w:r w:rsidDel="00000000" w:rsidR="00000000" w:rsidRPr="00000000">
        <w:rPr>
          <w:rtl w:val="0"/>
        </w:rPr>
        <w:t xml:space="preserve"> El Tratado entró en vigor en enero de 2026, ratificado por 94 países.</w:t>
      </w:r>
      <w:r w:rsidDel="00000000" w:rsidR="00000000" w:rsidRPr="00000000">
        <w:rPr>
          <w:vertAlign w:val="superscript"/>
        </w:rPr>
        <w:footnoteReference w:customMarkFollows="0" w:id="7"/>
      </w:r>
      <w:r w:rsidDel="00000000" w:rsidR="00000000" w:rsidRPr="00000000">
        <w:rPr>
          <w:rtl w:val="0"/>
        </w:rPr>
        <w:t xml:space="preserve"> Por primera vez, crea un mecanismo mundial para establecer instrumentos de gestión basados en zonas geográficas, incluidas las AMP, en el 61 % del océano situado fuera de la jurisdicción nacional. Sin avances rápidos en alta mar, alcanzar el objetivo 30x30 es prácticamente imposible. En un contexto complejo para la colaboración multilateral, la entrada en vigor del Acuerdo sobre la Biodiversidad Marina de las Zonas Situadas Fuera de la Jurisdicción Nacional (BBNJ) es una señal alentadora que ofrece una oportunidad real de cooperación constructiva.</w:t>
      </w:r>
    </w:p>
    <w:p w:rsidR="00000000" w:rsidDel="00000000" w:rsidP="00000000" w:rsidRDefault="00000000" w:rsidRPr="00000000" w14:paraId="00000035">
      <w:pPr>
        <w:rPr>
          <w:b w:val="1"/>
          <w:bCs w:val="1"/>
        </w:rPr>
      </w:pPr>
      <w:r w:rsidDel="00000000" w:rsidR="00000000" w:rsidRPr="00000000">
        <w:rPr>
          <w:b w:val="1"/>
          <w:bCs w:val="1"/>
          <w:rtl w:val="0"/>
        </w:rPr>
        <w:t xml:space="preserve">Lograr una protección efectiva es posible. Invertir en las condiciones que permiten aplicar las medidas de protección será decisivo para determinar si el objetivo 30x30 produce resultados significativos de conservación o una protección meramente nominal. Entre estas condiciones se incluyen las siguientes:</w:t>
      </w:r>
      <w:r w:rsidDel="00000000" w:rsidR="00000000" w:rsidRPr="00000000">
        <w:rPr>
          <w:b w:val="1"/>
          <w:bCs w:val="1"/>
          <w:vertAlign w:val="superscript"/>
        </w:rPr>
        <w:footnoteReference w:customMarkFollows="0" w:id="8"/>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Financiación duradera.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Una financiación sostenible a largo plazo es esencial para sostener la gestión, el seguimiento, la vigilancia del cumplimiento y la custodia del medio marino por parte de las comunidades. La financiación nacional deberá cubrir la mayor parte de los costes de gestión recurrentes, lo que exige dar mayor prioridad a la protección del océano en la agenda de los ministros de Hacienda, aunque la financiación internacional, la filantropía y el sector privado también tienen un papel que desempeñar.</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Datos abiertos y transparencia.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Los datos accesibles, los sistemas de seguimiento y la publicación de información son fundamentales para la rendición de cuentas, el cumplimiento de las normas y la toma de decisiones informadas.</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Equidad, inclusión y un enfoque basado en los derechos humanos.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 protección y la conservación efectivas deben reconocer y respaldar los derechos, el liderazgo, los conocimientos y la custodia del medio por parte de los pueblos indígenas y las comunidades locales.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Gestión eficaz y cumplimiento de las normas.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Las áreas protegidas y conservadas requieren objetivos claros, planes de gestión sólidos, sistemas eficaces para garantizar el cumplimiento y una capacidad institucional suficiente para hacer efectiva la protección.</w:t>
      </w:r>
    </w:p>
    <w:p w:rsidR="00000000" w:rsidDel="00000000" w:rsidP="00000000" w:rsidRDefault="00000000" w:rsidRPr="00000000" w14:paraId="0000003A">
      <w:pPr>
        <w:rPr/>
      </w:pPr>
      <w:r w:rsidDel="00000000" w:rsidR="00000000" w:rsidRPr="00000000">
        <w:rPr>
          <w:b w:val="1"/>
          <w:bCs w:val="1"/>
          <w:rtl w:val="0"/>
        </w:rPr>
        <w:t xml:space="preserve">La COP17 del Convenio sobre la Diversidad Biológica (CDB) y la COP1 del Acuerdo BBNJ deben marcar el paso de la ambición a la aplicación efectiva.</w:t>
      </w:r>
      <w:r w:rsidDel="00000000" w:rsidR="00000000" w:rsidRPr="00000000">
        <w:rPr>
          <w:rtl w:val="0"/>
        </w:rPr>
        <w:t xml:space="preserve"> Sabemos en qué consisten una protección y una conservación eficaces, y cada vez hay más pruebas de que los beneficios ecológicos, sociales y económicos a largo plazo pueden superar con creces los costes de actuar. Los gobiernos deben acudir preparados para reforzar sus compromisos nacionales, garantizar una financiación sostenida de la gestión a largo plazo, reorientar las subvenciones perjudiciales y sentar las bases de la primera generación de AMP en alta mar gestionadas eficazmente en el marco del Acuerdo BBNJ. El éxito ya no se mide únicamente por el número de hectáreas cuya protección se anuncia, sino por la superficie del océano que está realmente protegida, conservada y financiada, y que genera resultados para las personas y la naturaleza.</w:t>
      </w:r>
    </w:p>
    <w:sectPr>
      <w:pgSz w:h="16838" w:w="11906" w:orient="portrait"/>
      <w:pgMar w:bottom="1020" w:top="1020"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B">
      <w:pPr>
        <w:rPr/>
      </w:pPr>
      <w:r w:rsidDel="00000000" w:rsidR="00000000" w:rsidRPr="00000000">
        <w:rPr>
          <w:rStyle w:val="FootnoteReference"/>
          <w:vertAlign w:val="superscript"/>
        </w:rPr>
        <w:footnoteRef/>
      </w:r>
      <w:r w:rsidDel="00000000" w:rsidR="00000000" w:rsidRPr="00000000">
        <w:rPr>
          <w:sz w:val="18"/>
          <w:szCs w:val="18"/>
          <w:rtl w:val="0"/>
        </w:rPr>
        <w:t xml:space="preserve"> Análisis de SkyTruth basado en datos de Protected Planet sobre la protección comunicada y en datos de MPAtlas, del Marine Conservation Institute, sobre áreas con protección plena o alta, así como en capas cartográficas de extensión de los hábitats de UNEP-WCMC y Global Mangrove Watch. Véase la nota al pie XX para consultar la metodología y la lista completa de fuentes.</w:t>
      </w:r>
      <w:r w:rsidDel="00000000" w:rsidR="00000000" w:rsidRPr="00000000">
        <w:rPr>
          <w:rtl w:val="0"/>
        </w:rPr>
      </w:r>
    </w:p>
  </w:footnote>
  <w:footnote w:id="1">
    <w:p w:rsidR="00000000" w:rsidDel="00000000" w:rsidP="00000000" w:rsidRDefault="00000000" w:rsidRPr="00000000" w14:paraId="0000003C">
      <w:pPr>
        <w:rPr/>
      </w:pPr>
      <w:r w:rsidDel="00000000" w:rsidR="00000000" w:rsidRPr="00000000">
        <w:rPr>
          <w:rStyle w:val="FootnoteReference"/>
          <w:vertAlign w:val="superscript"/>
        </w:rPr>
        <w:footnoteRef/>
      </w:r>
      <w:r w:rsidDel="00000000" w:rsidR="00000000" w:rsidRPr="00000000">
        <w:rPr>
          <w:sz w:val="18"/>
          <w:szCs w:val="18"/>
          <w:rtl w:val="0"/>
        </w:rPr>
        <w:t xml:space="preserve"> Protected Planet, MPAtlas</w:t>
      </w:r>
      <w:r w:rsidDel="00000000" w:rsidR="00000000" w:rsidRPr="00000000">
        <w:rPr>
          <w:rtl w:val="0"/>
        </w:rPr>
      </w:r>
    </w:p>
  </w:footnote>
  <w:footnote w:id="2">
    <w:p w:rsidR="00000000" w:rsidDel="00000000" w:rsidP="00000000" w:rsidRDefault="00000000" w:rsidRPr="00000000" w14:paraId="0000003D">
      <w:pPr>
        <w:rPr/>
      </w:pPr>
      <w:r w:rsidDel="00000000" w:rsidR="00000000" w:rsidRPr="00000000">
        <w:rPr>
          <w:rStyle w:val="FootnoteReference"/>
          <w:vertAlign w:val="superscript"/>
        </w:rPr>
        <w:footnoteRef/>
      </w:r>
      <w:r w:rsidDel="00000000" w:rsidR="00000000" w:rsidRPr="00000000">
        <w:rPr>
          <w:sz w:val="18"/>
          <w:szCs w:val="18"/>
          <w:rtl w:val="0"/>
        </w:rPr>
        <w:t xml:space="preserve"> Basado en la protección comunicada a WDPCA / Protected Planet.</w:t>
      </w:r>
      <w:r w:rsidDel="00000000" w:rsidR="00000000" w:rsidRPr="00000000">
        <w:rPr>
          <w:rtl w:val="0"/>
        </w:rPr>
      </w:r>
    </w:p>
  </w:footnote>
  <w:footnote w:id="3">
    <w:p w:rsidR="00000000" w:rsidDel="00000000" w:rsidP="00000000" w:rsidRDefault="00000000" w:rsidRPr="00000000" w14:paraId="0000003E">
      <w:pPr>
        <w:rPr/>
      </w:pPr>
      <w:r w:rsidDel="00000000" w:rsidR="00000000" w:rsidRPr="00000000">
        <w:rPr>
          <w:rStyle w:val="FootnoteReference"/>
          <w:vertAlign w:val="superscript"/>
        </w:rPr>
        <w:footnoteRef/>
      </w:r>
      <w:r w:rsidDel="00000000" w:rsidR="00000000" w:rsidRPr="00000000">
        <w:rPr>
          <w:sz w:val="18"/>
          <w:szCs w:val="18"/>
          <w:rtl w:val="0"/>
        </w:rPr>
        <w:t xml:space="preserve"> Together for the Ocean, Ocean Protection Gap, 2025.</w:t>
      </w:r>
      <w:r w:rsidDel="00000000" w:rsidR="00000000" w:rsidRPr="00000000">
        <w:rPr>
          <w:rtl w:val="0"/>
        </w:rPr>
      </w:r>
    </w:p>
  </w:footnote>
  <w:footnote w:id="4">
    <w:p w:rsidR="00000000" w:rsidDel="00000000" w:rsidP="00000000" w:rsidRDefault="00000000" w:rsidRPr="00000000" w14:paraId="0000003F">
      <w:pPr>
        <w:rPr/>
      </w:pPr>
      <w:r w:rsidDel="00000000" w:rsidR="00000000" w:rsidRPr="00000000">
        <w:rPr>
          <w:rStyle w:val="FootnoteReference"/>
          <w:vertAlign w:val="superscript"/>
        </w:rPr>
        <w:footnoteRef/>
      </w:r>
      <w:r w:rsidDel="00000000" w:rsidR="00000000" w:rsidRPr="00000000">
        <w:rPr>
          <w:sz w:val="18"/>
          <w:szCs w:val="18"/>
          <w:rtl w:val="0"/>
        </w:rPr>
        <w:t xml:space="preserve"> Agnew et al., 2009.</w:t>
      </w:r>
      <w:r w:rsidDel="00000000" w:rsidR="00000000" w:rsidRPr="00000000">
        <w:rPr>
          <w:rtl w:val="0"/>
        </w:rPr>
      </w:r>
    </w:p>
  </w:footnote>
  <w:footnote w:id="5">
    <w:p w:rsidR="00000000" w:rsidDel="00000000" w:rsidP="00000000" w:rsidRDefault="00000000" w:rsidRPr="00000000" w14:paraId="00000040">
      <w:pPr>
        <w:rPr/>
      </w:pPr>
      <w:r w:rsidDel="00000000" w:rsidR="00000000" w:rsidRPr="00000000">
        <w:rPr>
          <w:rStyle w:val="FootnoteReference"/>
          <w:vertAlign w:val="superscript"/>
        </w:rPr>
        <w:footnoteRef/>
      </w:r>
      <w:r w:rsidDel="00000000" w:rsidR="00000000" w:rsidRPr="00000000">
        <w:rPr>
          <w:sz w:val="18"/>
          <w:szCs w:val="18"/>
          <w:rtl w:val="0"/>
        </w:rPr>
        <w:t xml:space="preserve"> Katherine D. Millage, Juan Mayorga, Sara Orofino, Trisha B. Atwood, Alan M. Friedlander, Louise S. L. Teh, Maria L. D. Palomares, U. Rashid Sumaila, Enric Sala, The value of bottom trawling in Europe [El valor de la pesca de arrastre de fondo en Europa], Ocean &amp; Coastal Management, volumen 278, 2026.</w:t>
      </w:r>
      <w:r w:rsidDel="00000000" w:rsidR="00000000" w:rsidRPr="00000000">
        <w:rPr>
          <w:rtl w:val="0"/>
        </w:rPr>
      </w:r>
    </w:p>
  </w:footnote>
  <w:footnote w:id="6">
    <w:p w:rsidR="00000000" w:rsidDel="00000000" w:rsidP="00000000" w:rsidRDefault="00000000" w:rsidRPr="00000000" w14:paraId="00000041">
      <w:pPr>
        <w:rPr/>
      </w:pPr>
      <w:r w:rsidDel="00000000" w:rsidR="00000000" w:rsidRPr="00000000">
        <w:rPr>
          <w:rStyle w:val="FootnoteReference"/>
          <w:vertAlign w:val="superscript"/>
        </w:rPr>
        <w:footnoteRef/>
      </w:r>
      <w:r w:rsidDel="00000000" w:rsidR="00000000" w:rsidRPr="00000000">
        <w:rPr>
          <w:sz w:val="18"/>
          <w:szCs w:val="18"/>
          <w:rtl w:val="0"/>
        </w:rPr>
        <w:t xml:space="preserve"> Este informe utiliza el término «Tratado de Alta Mar» como forma abreviada del Acuerdo en el marco de la Convención de las Naciones Unidas sobre el Derecho del Mar relativo a la Conservación y el Uso Sostenible de la Diversidad Biológica Marina de las Zonas Situadas Fuera de la Jurisdicción Nacional, conocido como Acuerdo BBNJ o Tratado de Alta Mar. Reconocemos que el ámbito de aplicación del Acuerdo BBNJ abarca todas las zonas situadas fuera de la jurisdicción nacional, incluidos los fondos marinos y la columna de agua. Esta elección terminológica pretende facilitar la comprensión a un público amplio y no implica dar prioridad a ningún componente o principio del Acuerdo BBNJ.</w:t>
      </w:r>
      <w:r w:rsidDel="00000000" w:rsidR="00000000" w:rsidRPr="00000000">
        <w:rPr>
          <w:rtl w:val="0"/>
        </w:rPr>
      </w:r>
    </w:p>
  </w:footnote>
  <w:footnote w:id="7">
    <w:p w:rsidR="00000000" w:rsidDel="00000000" w:rsidP="00000000" w:rsidRDefault="00000000" w:rsidRPr="00000000" w14:paraId="00000042">
      <w:pPr>
        <w:rPr/>
      </w:pPr>
      <w:r w:rsidDel="00000000" w:rsidR="00000000" w:rsidRPr="00000000">
        <w:rPr>
          <w:rStyle w:val="FootnoteReference"/>
          <w:vertAlign w:val="superscript"/>
        </w:rPr>
        <w:footnoteRef/>
      </w:r>
      <w:r w:rsidDel="00000000" w:rsidR="00000000" w:rsidRPr="00000000">
        <w:rPr>
          <w:sz w:val="18"/>
          <w:szCs w:val="18"/>
          <w:rtl w:val="0"/>
        </w:rPr>
        <w:t xml:space="preserve"> Dato válido en el momento de la publicación.</w:t>
      </w:r>
      <w:r w:rsidDel="00000000" w:rsidR="00000000" w:rsidRPr="00000000">
        <w:rPr>
          <w:rtl w:val="0"/>
        </w:rPr>
      </w:r>
    </w:p>
  </w:footnote>
  <w:footnote w:id="8">
    <w:p w:rsidR="00000000" w:rsidDel="00000000" w:rsidP="00000000" w:rsidRDefault="00000000" w:rsidRPr="00000000" w14:paraId="00000043">
      <w:pPr>
        <w:rPr/>
      </w:pPr>
      <w:r w:rsidDel="00000000" w:rsidR="00000000" w:rsidRPr="00000000">
        <w:rPr>
          <w:rStyle w:val="FootnoteReference"/>
          <w:vertAlign w:val="superscript"/>
        </w:rPr>
        <w:footnoteRef/>
      </w:r>
      <w:r w:rsidDel="00000000" w:rsidR="00000000" w:rsidRPr="00000000">
        <w:rPr>
          <w:sz w:val="18"/>
          <w:szCs w:val="18"/>
          <w:rtl w:val="0"/>
        </w:rPr>
        <w:t xml:space="preserve"> Las condiciones aquí expuestas son fundamentales para garantizar que cada área protegida alcance los resultados de conservación previstos, pero no abarcan todos los factores pertinentes para alcanzar la Meta 3 a escala del sistema, entre ellos la representatividad ecológica, la conectividad y la cobertura de zonas de especial importancia para la biodiversidad y las funciones de los ecosistemas.</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sz w:val="46"/>
      <w:szCs w:val="4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cb85d942-c56d-4b53-af1b-4d09869957ba</vt:lpwstr>
  </property>
</Properties>
</file>